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9E5" w:rsidRPr="005A080D" w:rsidRDefault="00AD49E5" w:rsidP="00AD49E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080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Приложение 1 к </w:t>
      </w:r>
      <w:r w:rsidR="00E2495F" w:rsidRPr="005A080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Документации о закупке</w:t>
      </w:r>
    </w:p>
    <w:p w:rsidR="00AD49E5" w:rsidRPr="005A080D" w:rsidRDefault="00AD49E5" w:rsidP="000A1DB7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D49E5" w:rsidRPr="005A080D" w:rsidRDefault="00AD49E5" w:rsidP="000A1DB7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A1DB7" w:rsidRPr="005A080D" w:rsidRDefault="000A1DB7" w:rsidP="000A1DB7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A080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0A1DB7" w:rsidRPr="005A080D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A08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724D" w:rsidRPr="005A080D" w:rsidRDefault="005D724D" w:rsidP="005D724D">
      <w:pPr>
        <w:pStyle w:val="a4"/>
        <w:widowControl w:val="0"/>
        <w:tabs>
          <w:tab w:val="left" w:pos="142"/>
          <w:tab w:val="left" w:pos="1550"/>
        </w:tabs>
        <w:autoSpaceDE w:val="0"/>
        <w:autoSpaceDN w:val="0"/>
        <w:adjustRightInd w:val="0"/>
        <w:spacing w:after="0" w:line="240" w:lineRule="auto"/>
        <w:ind w:left="17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080D">
        <w:rPr>
          <w:rFonts w:ascii="Times New Roman" w:hAnsi="Times New Roman" w:cs="Times New Roman"/>
          <w:b/>
          <w:sz w:val="28"/>
          <w:szCs w:val="28"/>
        </w:rPr>
        <w:t>«О</w:t>
      </w:r>
      <w:r w:rsidRPr="005A080D">
        <w:rPr>
          <w:rFonts w:ascii="Times New Roman" w:eastAsia="Times New Roman" w:hAnsi="Times New Roman" w:cs="Times New Roman"/>
          <w:b/>
          <w:sz w:val="28"/>
          <w:szCs w:val="28"/>
        </w:rPr>
        <w:t xml:space="preserve">казание услуг </w:t>
      </w:r>
      <w:r w:rsidRPr="005A080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охраны объектов </w:t>
      </w:r>
      <w:r w:rsidRPr="005A080D">
        <w:rPr>
          <w:rFonts w:ascii="Times New Roman" w:hAnsi="Times New Roman" w:cs="Times New Roman"/>
          <w:b/>
          <w:sz w:val="28"/>
          <w:szCs w:val="28"/>
        </w:rPr>
        <w:t>Аппарата управления и Центрального филиала АО «Коми энергосбытовая компания»</w:t>
      </w:r>
    </w:p>
    <w:p w:rsidR="005D724D" w:rsidRPr="005A080D" w:rsidRDefault="005D724D" w:rsidP="005D724D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A08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нужд </w:t>
      </w:r>
      <w:r w:rsidRPr="005A080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АО «Коми энергосбытовая компания»</w:t>
      </w:r>
    </w:p>
    <w:p w:rsidR="000A1DB7" w:rsidRPr="005A080D" w:rsidRDefault="000A1DB7" w:rsidP="000A1DB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9918" w:type="dxa"/>
        <w:tblLook w:val="04A0" w:firstRow="1" w:lastRow="0" w:firstColumn="1" w:lastColumn="0" w:noHBand="0" w:noVBand="1"/>
      </w:tblPr>
      <w:tblGrid>
        <w:gridCol w:w="704"/>
        <w:gridCol w:w="2835"/>
        <w:gridCol w:w="6379"/>
      </w:tblGrid>
      <w:tr w:rsidR="000A1DB7" w:rsidRPr="005A080D" w:rsidTr="009F134C">
        <w:tc>
          <w:tcPr>
            <w:tcW w:w="704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35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Требования</w:t>
            </w:r>
          </w:p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</w:tr>
      <w:tr w:rsidR="000A1DB7" w:rsidRPr="005A080D" w:rsidTr="009F134C">
        <w:tc>
          <w:tcPr>
            <w:tcW w:w="704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A1DB7" w:rsidRPr="005A080D" w:rsidRDefault="000A1DB7" w:rsidP="009F1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  <w:p w:rsidR="000A1DB7" w:rsidRPr="005A080D" w:rsidRDefault="000A1DB7" w:rsidP="009F1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0A1DB7" w:rsidRPr="005A080D" w:rsidRDefault="005D724D" w:rsidP="009F134C">
            <w:pPr>
              <w:tabs>
                <w:tab w:val="left" w:pos="1550"/>
              </w:tabs>
              <w:autoSpaceDE w:val="0"/>
              <w:autoSpaceDN w:val="0"/>
              <w:adjustRightInd w:val="0"/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Охрана объектов </w:t>
            </w: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Аппарата управления и Центрального филиала АО «Коми энергосбытовая компания».</w:t>
            </w:r>
          </w:p>
        </w:tc>
      </w:tr>
      <w:tr w:rsidR="000A1DB7" w:rsidRPr="005A080D" w:rsidTr="009F134C">
        <w:tc>
          <w:tcPr>
            <w:tcW w:w="704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</w:tcPr>
          <w:p w:rsidR="000A1DB7" w:rsidRPr="005A080D" w:rsidRDefault="000A1DB7" w:rsidP="009F1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Место оказания услуги</w:t>
            </w:r>
          </w:p>
        </w:tc>
        <w:tc>
          <w:tcPr>
            <w:tcW w:w="6379" w:type="dxa"/>
          </w:tcPr>
          <w:p w:rsidR="005D724D" w:rsidRPr="005A080D" w:rsidRDefault="005D724D" w:rsidP="005D724D">
            <w:pPr>
              <w:tabs>
                <w:tab w:val="left" w:pos="155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Республика Коми, г. Сыктывкар, ул. Первомайская, д. 70б;</w:t>
            </w:r>
          </w:p>
          <w:p w:rsidR="005D724D" w:rsidRPr="005A080D" w:rsidRDefault="005D724D" w:rsidP="005D724D">
            <w:pPr>
              <w:tabs>
                <w:tab w:val="left" w:pos="155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Республика Коми, г. Сыктывкар, ул. Куратова, д.85а;</w:t>
            </w:r>
          </w:p>
          <w:p w:rsidR="000A1DB7" w:rsidRPr="005A080D" w:rsidRDefault="005D724D" w:rsidP="00DB0E76">
            <w:pPr>
              <w:tabs>
                <w:tab w:val="left" w:pos="155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Республика Коми, г. Сыктывкар, ул. 28 Невельской дивизии, д.27</w:t>
            </w:r>
            <w:r w:rsidR="00DB0E7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/1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</w:tc>
      </w:tr>
      <w:tr w:rsidR="000A1DB7" w:rsidRPr="005A080D" w:rsidTr="009F134C">
        <w:tc>
          <w:tcPr>
            <w:tcW w:w="704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0A1DB7" w:rsidRPr="005A080D" w:rsidRDefault="000A1DB7" w:rsidP="009F1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379" w:type="dxa"/>
          </w:tcPr>
          <w:p w:rsidR="005D724D" w:rsidRPr="005A080D" w:rsidRDefault="005D724D" w:rsidP="005D72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Начало: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01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  <w:r w:rsidR="005A07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.2025 г.</w:t>
            </w:r>
          </w:p>
          <w:p w:rsidR="000A1DB7" w:rsidRPr="005A080D" w:rsidRDefault="005D724D" w:rsidP="005A07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Окончание: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="005A07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A07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.202</w:t>
            </w:r>
            <w:r w:rsidR="005A078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0A1DB7" w:rsidRPr="005A080D" w:rsidTr="009F134C">
        <w:tc>
          <w:tcPr>
            <w:tcW w:w="704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0A1DB7" w:rsidRPr="005A080D" w:rsidRDefault="000A1DB7" w:rsidP="009F1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Вид, перечень и объем оказываемых услуг</w:t>
            </w:r>
          </w:p>
          <w:p w:rsidR="000A1DB7" w:rsidRPr="005A080D" w:rsidRDefault="000A1DB7" w:rsidP="009F1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0A1DB7" w:rsidRPr="005A080D" w:rsidRDefault="000A1DB7" w:rsidP="009F134C">
            <w:pPr>
              <w:snapToGri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 </w:t>
            </w:r>
            <w:r w:rsidR="00AD01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объем 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</w:t>
            </w:r>
            <w:r w:rsidR="00AD01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0A1DB7" w:rsidRPr="005A080D" w:rsidRDefault="000A1DB7" w:rsidP="009F134C">
            <w:pPr>
              <w:snapToGri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0A1DB7" w:rsidRPr="005A080D" w:rsidRDefault="000A1DB7" w:rsidP="009F134C">
            <w:pPr>
              <w:widowControl w:val="0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Microsoft Sans Serif" w:hAnsi="Times New Roman" w:cs="Times New Roman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0A1DB7" w:rsidRPr="005A080D" w:rsidRDefault="000A1DB7" w:rsidP="009F134C">
            <w:pPr>
              <w:widowControl w:val="0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Microsoft Sans Serif" w:hAnsi="Times New Roman" w:cs="Times New Roman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0A1DB7" w:rsidRPr="005A080D" w:rsidRDefault="000A1DB7" w:rsidP="009F134C">
            <w:pPr>
              <w:widowControl w:val="0"/>
              <w:contextualSpacing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Microsoft Sans Serif" w:hAnsi="Times New Roman" w:cs="Times New Roman"/>
                <w:sz w:val="20"/>
                <w:szCs w:val="20"/>
                <w:lang w:eastAsia="ru-RU"/>
              </w:rPr>
              <w:t>- организация и обеспечение работы пропускного бюро и внутриобъектового режима на охраняемых объектах;</w:t>
            </w:r>
          </w:p>
          <w:p w:rsidR="000A1DB7" w:rsidRPr="005A080D" w:rsidRDefault="000A1DB7" w:rsidP="009F134C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Microsoft Sans Serif" w:hAnsi="Times New Roman" w:cs="Times New Roman"/>
                <w:sz w:val="20"/>
                <w:szCs w:val="20"/>
                <w:lang w:eastAsia="ru-RU"/>
              </w:rPr>
              <w:t>-</w:t>
            </w:r>
            <w:r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0A1DB7" w:rsidRPr="005A080D" w:rsidRDefault="000A1DB7" w:rsidP="009F134C">
            <w:pPr>
              <w:snapToGrid w:val="0"/>
              <w:jc w:val="both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  <w:p w:rsidR="000A1DB7" w:rsidRPr="005A080D" w:rsidRDefault="000A1DB7" w:rsidP="009F134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DB7" w:rsidRPr="005A080D" w:rsidTr="009F134C">
        <w:tc>
          <w:tcPr>
            <w:tcW w:w="704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0A1DB7" w:rsidRPr="005A080D" w:rsidRDefault="000A1DB7" w:rsidP="009F1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Требования к порядку оказания услуги</w:t>
            </w:r>
          </w:p>
          <w:p w:rsidR="000A1DB7" w:rsidRPr="005A080D" w:rsidRDefault="000A1DB7" w:rsidP="009F1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0A1DB7" w:rsidRPr="005A080D" w:rsidRDefault="000A1DB7" w:rsidP="0054103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0A1DB7" w:rsidRPr="005A080D" w:rsidRDefault="000A1DB7" w:rsidP="00541036">
            <w:pPr>
              <w:tabs>
                <w:tab w:val="left" w:pos="155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0A1DB7" w:rsidRPr="005A080D" w:rsidRDefault="000A1DB7" w:rsidP="00541036">
            <w:pPr>
              <w:tabs>
                <w:tab w:val="left" w:pos="155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0A1DB7" w:rsidRPr="005A080D" w:rsidRDefault="000A1DB7" w:rsidP="00541036">
            <w:pPr>
              <w:tabs>
                <w:tab w:val="left" w:pos="155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0A1DB7" w:rsidRPr="005A080D" w:rsidRDefault="000A1DB7" w:rsidP="0054103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Каждый пост охраны должен быть оборудован спецсредствами и средствами связи, в соответствии с</w:t>
            </w:r>
            <w:r w:rsidR="00AD01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Договором.</w:t>
            </w:r>
          </w:p>
          <w:p w:rsidR="000A1DB7" w:rsidRPr="005A080D" w:rsidRDefault="000A1DB7" w:rsidP="0054103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0A1DB7" w:rsidRPr="005A080D" w:rsidRDefault="000A1DB7" w:rsidP="0054103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0A1DB7" w:rsidRPr="005A080D" w:rsidRDefault="000A1DB7" w:rsidP="009F134C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 w:rsidRPr="005A0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Исполнителя.</w:t>
            </w:r>
          </w:p>
          <w:p w:rsidR="000A1DB7" w:rsidRPr="005A080D" w:rsidRDefault="000A1DB7" w:rsidP="009F13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0A1DB7" w:rsidRPr="005A080D" w:rsidTr="009F134C">
        <w:tc>
          <w:tcPr>
            <w:tcW w:w="704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835" w:type="dxa"/>
          </w:tcPr>
          <w:p w:rsidR="000A1DB7" w:rsidRPr="005A080D" w:rsidRDefault="000A1DB7" w:rsidP="009F134C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0A1DB7" w:rsidRPr="005A080D" w:rsidRDefault="000A1DB7" w:rsidP="009F1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0A1DB7" w:rsidRPr="005A080D" w:rsidRDefault="000A1DB7" w:rsidP="009F134C">
            <w:pPr>
              <w:widowControl w:val="0"/>
              <w:tabs>
                <w:tab w:val="num" w:pos="284"/>
              </w:tabs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Законом РФ от 11.03.1992 (ред. от 28.12.2022)  №2487-1 «О частной детективной и охранной деятельности в Российской Федерации», Федеральн</w:t>
            </w:r>
            <w:r w:rsidR="00E2495F"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ым</w:t>
            </w:r>
            <w:r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закон</w:t>
            </w:r>
            <w:r w:rsidR="00E2495F"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ом</w:t>
            </w:r>
            <w:r w:rsidRPr="005A080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от 13.12.1996 (ред. от 06.02.2023) №150-ФЗ «Об оружии», иными 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внутриобъектовом режиме на территории охраняемых объектов АО «Коми энергосбытовая компания»,  утвержденного Заказчиком, а также условиями Договора.</w:t>
            </w:r>
          </w:p>
          <w:p w:rsidR="000A1DB7" w:rsidRPr="005A080D" w:rsidRDefault="000A1DB7" w:rsidP="009F134C">
            <w:pPr>
              <w:shd w:val="clear" w:color="auto" w:fill="FFFFFF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Пропускной и внутриобъектовый режимы на Объекте устанавливаются Заказчиком на основании Положения «О пропускном и внутриобъектовом режиме на территории охраняемых объектов АО «Коми энергосбытовая компания», а обеспечение возлагается на Исполнителя.</w:t>
            </w:r>
          </w:p>
        </w:tc>
      </w:tr>
      <w:tr w:rsidR="000A1DB7" w:rsidRPr="005A080D" w:rsidTr="009F134C">
        <w:tc>
          <w:tcPr>
            <w:tcW w:w="704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0A1DB7" w:rsidRPr="005A080D" w:rsidRDefault="000A1DB7" w:rsidP="009F134C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0A1DB7" w:rsidRPr="005A080D" w:rsidRDefault="000A1DB7" w:rsidP="009F134C">
            <w:pPr>
              <w:spacing w:line="276" w:lineRule="auto"/>
              <w:ind w:left="12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0A1DB7" w:rsidRPr="005A080D" w:rsidRDefault="000A1DB7" w:rsidP="00541036">
            <w:pPr>
              <w:tabs>
                <w:tab w:val="left" w:pos="1276"/>
                <w:tab w:val="num" w:pos="2292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0A1DB7" w:rsidRPr="005A080D" w:rsidRDefault="000A1DB7" w:rsidP="00541036">
            <w:pPr>
              <w:tabs>
                <w:tab w:val="left" w:pos="155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Сдача-приемка Услуг производится Сторонами ежемесячно. К </w:t>
            </w:r>
            <w:r w:rsidR="00541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риемке предъявляются Услуги, завершенные Исполнителем в отчетном месяце.</w:t>
            </w: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0A1DB7" w:rsidRPr="005A080D" w:rsidTr="009F134C">
        <w:tc>
          <w:tcPr>
            <w:tcW w:w="704" w:type="dxa"/>
          </w:tcPr>
          <w:p w:rsidR="000A1DB7" w:rsidRPr="005A080D" w:rsidRDefault="000A1DB7" w:rsidP="009F1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0A1DB7" w:rsidRPr="005A080D" w:rsidRDefault="000A1DB7" w:rsidP="009F134C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379" w:type="dxa"/>
          </w:tcPr>
          <w:p w:rsidR="000A1DB7" w:rsidRPr="005A080D" w:rsidRDefault="000A1DB7" w:rsidP="005410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Исполнитель работ гарантирует предоставление услуг по охране в соответствии с требованиями Заказчика.</w:t>
            </w:r>
            <w:bookmarkStart w:id="0" w:name="_GoBack"/>
            <w:bookmarkEnd w:id="0"/>
          </w:p>
        </w:tc>
      </w:tr>
    </w:tbl>
    <w:p w:rsidR="000A1DB7" w:rsidRPr="005A080D" w:rsidRDefault="000A1DB7" w:rsidP="000A1DB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A1DB7" w:rsidRPr="005A080D" w:rsidRDefault="000A1DB7" w:rsidP="000A1DB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Default="000A1DB7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A080D" w:rsidRDefault="005A080D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A080D" w:rsidRDefault="005A080D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A080D" w:rsidRDefault="005A080D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A080D" w:rsidRDefault="005A080D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A080D" w:rsidRDefault="005A080D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A080D" w:rsidRDefault="005A080D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A080D" w:rsidRDefault="005A080D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5A080D" w:rsidRDefault="005A080D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3B3D45" w:rsidRDefault="003B3D45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3B3D45" w:rsidRDefault="003B3D45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3B3D45" w:rsidRDefault="003B3D45" w:rsidP="000A1DB7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A1DB7" w:rsidRPr="005A080D" w:rsidRDefault="000A1DB7" w:rsidP="000A1DB7">
      <w:pPr>
        <w:snapToGri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8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1 к техническому заданию</w:t>
      </w:r>
    </w:p>
    <w:p w:rsidR="000A1DB7" w:rsidRPr="005A080D" w:rsidRDefault="000A1DB7" w:rsidP="000A1DB7">
      <w:pPr>
        <w:snapToGri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A1DB7" w:rsidRPr="005A080D" w:rsidRDefault="000A1DB7" w:rsidP="000A1DB7">
      <w:pPr>
        <w:snapToGri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716E0" w:rsidRDefault="007716E0" w:rsidP="007716E0">
      <w:pPr>
        <w:snapToGri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5A08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Объектов охраны, передаваемых под охрану</w:t>
      </w:r>
      <w:r w:rsidR="003B3D45" w:rsidRPr="005A080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вид и объем оказываемых услуг</w:t>
      </w:r>
    </w:p>
    <w:p w:rsidR="007716E0" w:rsidRPr="004E52E7" w:rsidRDefault="007716E0" w:rsidP="007716E0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9796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15"/>
        <w:gridCol w:w="1843"/>
        <w:gridCol w:w="1559"/>
        <w:gridCol w:w="567"/>
        <w:gridCol w:w="1134"/>
        <w:gridCol w:w="1985"/>
        <w:gridCol w:w="1134"/>
        <w:gridCol w:w="850"/>
        <w:gridCol w:w="709"/>
      </w:tblGrid>
      <w:tr w:rsidR="005D724D" w:rsidRPr="005A080D" w:rsidTr="00074545">
        <w:trPr>
          <w:trHeight w:val="816"/>
        </w:trPr>
        <w:tc>
          <w:tcPr>
            <w:tcW w:w="185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Кол-во постов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Способ охраны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Режим работы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часов за период</w:t>
            </w:r>
          </w:p>
        </w:tc>
      </w:tr>
      <w:tr w:rsidR="005D724D" w:rsidRPr="005A080D" w:rsidTr="000745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843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Офисные помещения Аппарата управления АО «Коми энергосбытовая компания»</w:t>
            </w:r>
          </w:p>
        </w:tc>
        <w:tc>
          <w:tcPr>
            <w:tcW w:w="1559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Сыктывкар, ул. Первомайская, д. 70-б</w:t>
            </w:r>
          </w:p>
        </w:tc>
        <w:tc>
          <w:tcPr>
            <w:tcW w:w="567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5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Круглосуточно </w:t>
            </w:r>
          </w:p>
        </w:tc>
        <w:tc>
          <w:tcPr>
            <w:tcW w:w="1134" w:type="dxa"/>
            <w:vAlign w:val="center"/>
          </w:tcPr>
          <w:p w:rsidR="005D724D" w:rsidRPr="005A080D" w:rsidRDefault="005D724D" w:rsidP="005A0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3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Круглосуточно</w:t>
            </w:r>
          </w:p>
        </w:tc>
        <w:tc>
          <w:tcPr>
            <w:tcW w:w="709" w:type="dxa"/>
            <w:vAlign w:val="center"/>
          </w:tcPr>
          <w:p w:rsidR="005D724D" w:rsidRPr="005A080D" w:rsidRDefault="005A0788" w:rsidP="005A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8760</w:t>
            </w:r>
          </w:p>
        </w:tc>
      </w:tr>
      <w:tr w:rsidR="005D724D" w:rsidRPr="005A080D" w:rsidTr="000745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843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Офисные помещения Аппарата управления АО «Коми энергосбытовая компания»</w:t>
            </w:r>
          </w:p>
        </w:tc>
        <w:tc>
          <w:tcPr>
            <w:tcW w:w="1559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Сыктывкар, ул. Куратова, д.85а</w:t>
            </w:r>
          </w:p>
        </w:tc>
        <w:tc>
          <w:tcPr>
            <w:tcW w:w="567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5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Круглосуточно</w:t>
            </w:r>
          </w:p>
        </w:tc>
        <w:tc>
          <w:tcPr>
            <w:tcW w:w="1134" w:type="dxa"/>
            <w:vAlign w:val="center"/>
          </w:tcPr>
          <w:p w:rsidR="005D724D" w:rsidRPr="005A080D" w:rsidRDefault="005D724D" w:rsidP="005A0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3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Круглосуточно</w:t>
            </w:r>
          </w:p>
        </w:tc>
        <w:tc>
          <w:tcPr>
            <w:tcW w:w="709" w:type="dxa"/>
            <w:vAlign w:val="center"/>
          </w:tcPr>
          <w:p w:rsidR="005D724D" w:rsidRPr="005A080D" w:rsidRDefault="005A0788" w:rsidP="005A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8760</w:t>
            </w:r>
          </w:p>
        </w:tc>
      </w:tr>
      <w:tr w:rsidR="005D724D" w:rsidRPr="005A080D" w:rsidTr="000745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843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  Центрального филиала АО «Коми энергосбытовая компания»</w:t>
            </w:r>
          </w:p>
        </w:tc>
        <w:tc>
          <w:tcPr>
            <w:tcW w:w="1559" w:type="dxa"/>
            <w:vAlign w:val="center"/>
          </w:tcPr>
          <w:p w:rsidR="005D724D" w:rsidRPr="005A080D" w:rsidRDefault="005D724D" w:rsidP="00AD0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Сыктывкар, ул. 28 Невельской дивизии, д.27</w:t>
            </w:r>
            <w:r w:rsidR="00AD0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567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5" w:type="dxa"/>
            <w:vAlign w:val="center"/>
          </w:tcPr>
          <w:p w:rsidR="005D724D" w:rsidRPr="005A080D" w:rsidRDefault="005D724D" w:rsidP="005A0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понедельник-пятница с 08:30 до 18:30 (в предпраздничные укороченные дни с 08:30 до 17:30 (</w:t>
            </w:r>
            <w:r w:rsidR="005A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5A08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))</w:t>
            </w:r>
          </w:p>
        </w:tc>
        <w:tc>
          <w:tcPr>
            <w:tcW w:w="1134" w:type="dxa"/>
            <w:vAlign w:val="center"/>
          </w:tcPr>
          <w:p w:rsidR="005D724D" w:rsidRPr="005A080D" w:rsidRDefault="005D724D" w:rsidP="005A0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</w:t>
            </w:r>
            <w:r w:rsidR="005A0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.2025– 3</w:t>
            </w:r>
            <w:r w:rsidR="005A0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5A0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</w:t>
            </w:r>
            <w:r w:rsidR="005A0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Понедельник- Пятница</w:t>
            </w:r>
          </w:p>
        </w:tc>
        <w:tc>
          <w:tcPr>
            <w:tcW w:w="709" w:type="dxa"/>
            <w:vAlign w:val="center"/>
          </w:tcPr>
          <w:p w:rsidR="005D724D" w:rsidRPr="005A080D" w:rsidRDefault="005A0788" w:rsidP="005A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2446</w:t>
            </w:r>
          </w:p>
        </w:tc>
      </w:tr>
      <w:tr w:rsidR="005D724D" w:rsidRPr="005A080D" w:rsidTr="000745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843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  Центрального филиала АО «Коми энергосбытовая компания»</w:t>
            </w:r>
          </w:p>
        </w:tc>
        <w:tc>
          <w:tcPr>
            <w:tcW w:w="1559" w:type="dxa"/>
            <w:vAlign w:val="center"/>
          </w:tcPr>
          <w:p w:rsidR="005D724D" w:rsidRPr="005A080D" w:rsidRDefault="005D724D" w:rsidP="00AD0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Сыктывкар, ул. 28 Невельской дивизии, д.27</w:t>
            </w:r>
            <w:r w:rsidR="00AD0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567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ПЦН</w:t>
            </w:r>
          </w:p>
          <w:p w:rsidR="005D724D" w:rsidRPr="005A080D" w:rsidRDefault="005D724D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ОПС</w:t>
            </w:r>
          </w:p>
        </w:tc>
        <w:tc>
          <w:tcPr>
            <w:tcW w:w="1985" w:type="dxa"/>
            <w:vAlign w:val="center"/>
          </w:tcPr>
          <w:p w:rsidR="005D724D" w:rsidRDefault="005D724D" w:rsidP="000745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08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понедельник-пятница с 00:00 до 08:30 и с 18:30 до 24:00 (в предпраздничные укороченные дни с 00:0</w:t>
            </w:r>
            <w:r w:rsidR="005A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до 08:30 и с 17:30 до 24:00 (4</w:t>
            </w:r>
            <w:r w:rsidRPr="005A08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))</w:t>
            </w:r>
            <w:r w:rsidR="005410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541036" w:rsidRPr="00541036" w:rsidRDefault="00541036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036">
              <w:rPr>
                <w:rFonts w:ascii="Times New Roman" w:hAnsi="Times New Roman"/>
                <w:color w:val="000000"/>
                <w:sz w:val="20"/>
                <w:szCs w:val="20"/>
              </w:rPr>
              <w:t>Суббота-Воскресенье с 00-00 до 24-00</w:t>
            </w:r>
          </w:p>
        </w:tc>
        <w:tc>
          <w:tcPr>
            <w:tcW w:w="1134" w:type="dxa"/>
            <w:vAlign w:val="center"/>
          </w:tcPr>
          <w:p w:rsidR="005D724D" w:rsidRPr="005A080D" w:rsidRDefault="005D724D" w:rsidP="005A0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.2025– 3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5A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5A0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5D724D" w:rsidRPr="005A080D" w:rsidRDefault="005D724D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 Воскресение</w:t>
            </w:r>
          </w:p>
        </w:tc>
        <w:tc>
          <w:tcPr>
            <w:tcW w:w="709" w:type="dxa"/>
            <w:vAlign w:val="center"/>
          </w:tcPr>
          <w:p w:rsidR="005D724D" w:rsidRPr="005A080D" w:rsidRDefault="005A0788" w:rsidP="005A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6314</w:t>
            </w:r>
          </w:p>
        </w:tc>
      </w:tr>
    </w:tbl>
    <w:p w:rsidR="005D724D" w:rsidRPr="005A080D" w:rsidRDefault="005D724D" w:rsidP="005D724D">
      <w:pPr>
        <w:rPr>
          <w:rFonts w:ascii="Times New Roman" w:hAnsi="Times New Roman" w:cs="Times New Roman"/>
          <w:sz w:val="20"/>
          <w:szCs w:val="20"/>
        </w:rPr>
      </w:pPr>
    </w:p>
    <w:p w:rsidR="000A1DB7" w:rsidRDefault="000A1DB7" w:rsidP="005D724D">
      <w:pPr>
        <w:snapToGrid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tbl>
      <w:tblPr>
        <w:tblW w:w="5818" w:type="dxa"/>
        <w:tblLayout w:type="fixed"/>
        <w:tblLook w:val="0000" w:firstRow="0" w:lastRow="0" w:firstColumn="0" w:lastColumn="0" w:noHBand="0" w:noVBand="0"/>
      </w:tblPr>
      <w:tblGrid>
        <w:gridCol w:w="567"/>
        <w:gridCol w:w="5251"/>
      </w:tblGrid>
      <w:tr w:rsidR="000A1DB7" w:rsidRPr="00AB34C5" w:rsidTr="009F134C">
        <w:trPr>
          <w:trHeight w:val="190"/>
        </w:trPr>
        <w:tc>
          <w:tcPr>
            <w:tcW w:w="567" w:type="dxa"/>
          </w:tcPr>
          <w:p w:rsidR="000A1DB7" w:rsidRPr="00AB34C5" w:rsidRDefault="000A1DB7" w:rsidP="009F134C">
            <w:pPr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0A1DB7" w:rsidRPr="00AB34C5" w:rsidRDefault="000A1DB7" w:rsidP="009F134C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B039DB" w:rsidRDefault="00B039DB"/>
    <w:sectPr w:rsidR="00B039DB" w:rsidSect="000A1DB7">
      <w:type w:val="continuous"/>
      <w:pgSz w:w="11906" w:h="16838" w:code="9"/>
      <w:pgMar w:top="1134" w:right="851" w:bottom="1134" w:left="1276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F2"/>
    <w:rsid w:val="000A1DB7"/>
    <w:rsid w:val="001E01F2"/>
    <w:rsid w:val="003B3D45"/>
    <w:rsid w:val="00521393"/>
    <w:rsid w:val="00541036"/>
    <w:rsid w:val="005A0788"/>
    <w:rsid w:val="005A080D"/>
    <w:rsid w:val="005D724D"/>
    <w:rsid w:val="007716E0"/>
    <w:rsid w:val="00AD01D3"/>
    <w:rsid w:val="00AD49E5"/>
    <w:rsid w:val="00B039DB"/>
    <w:rsid w:val="00DB0E76"/>
    <w:rsid w:val="00E2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3B14A"/>
  <w15:chartTrackingRefBased/>
  <w15:docId w15:val="{A778A4AE-449D-4935-868B-ED68D980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A1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A1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5D724D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5D724D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Удоратин Александр Валерьевич</cp:lastModifiedBy>
  <cp:revision>12</cp:revision>
  <dcterms:created xsi:type="dcterms:W3CDTF">2024-11-26T08:54:00Z</dcterms:created>
  <dcterms:modified xsi:type="dcterms:W3CDTF">2025-09-17T12:09:00Z</dcterms:modified>
</cp:coreProperties>
</file>